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4637A3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ЭКОНДА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680747" w:rsidRPr="00680747" w:rsidRDefault="00680747" w:rsidP="0068074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  <w:t>ПОСТАНОВЛЕНИЕ</w:t>
      </w:r>
    </w:p>
    <w:p w:rsidR="00680747" w:rsidRPr="00680747" w:rsidRDefault="00680747" w:rsidP="006D0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B90595" w:rsidP="006D00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«  23 »  ноября  2022</w:t>
      </w:r>
      <w:r w:rsidR="00680747"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  п. </w:t>
      </w:r>
      <w:r w:rsidR="004637A3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Эконда</w:t>
      </w:r>
      <w:r w:rsidR="00680747"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</w:t>
      </w:r>
      <w:r w:rsidR="00C30818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        №  47</w:t>
      </w: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</w:t>
      </w:r>
      <w:r w:rsidR="00680747"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-п</w:t>
      </w:r>
    </w:p>
    <w:p w:rsidR="00001A99" w:rsidRDefault="00001A99" w:rsidP="006D007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001A99" w:rsidRDefault="00001A99" w:rsidP="006D00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01A99" w:rsidRDefault="00001A99" w:rsidP="006D00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AD6EA3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создания, хранения, использования и восполнения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резерва материальных ресурсов для ликвидации чрезвычайных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ситуаций на территории </w:t>
      </w:r>
      <w:proofErr w:type="gramStart"/>
      <w:r w:rsidRPr="00AD6EA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«поселок </w:t>
      </w:r>
    </w:p>
    <w:p w:rsidR="00001A99" w:rsidRPr="006C1BC4" w:rsidRDefault="004637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Эконда</w:t>
      </w:r>
      <w:r w:rsidR="00AD6EA3" w:rsidRPr="00AD6EA3">
        <w:rPr>
          <w:rFonts w:ascii="Times New Roman" w:hAnsi="Times New Roman" w:cs="Times New Roman"/>
          <w:b/>
          <w:bCs/>
          <w:sz w:val="28"/>
          <w:szCs w:val="28"/>
        </w:rPr>
        <w:t>» Эвенкийского муниципального района Красноярского края</w:t>
      </w:r>
    </w:p>
    <w:p w:rsidR="00001A99" w:rsidRPr="00082673" w:rsidRDefault="00001A99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001A99" w:rsidRDefault="00AD6EA3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Красноярского края от 02.11.2001 г. № 16-1558 «О резервах материально-технических ресурсов для ликвидации чрезвычайных ситуаций на территории Красноярского края»,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</w:t>
      </w:r>
      <w:proofErr w:type="gramEnd"/>
      <w:r w:rsidRPr="00AD6EA3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4637A3">
        <w:rPr>
          <w:rFonts w:ascii="Times New Roman" w:hAnsi="Times New Roman" w:cs="Times New Roman"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</w:t>
      </w:r>
    </w:p>
    <w:p w:rsidR="00AD6EA3" w:rsidRPr="00082673" w:rsidRDefault="00AD6EA3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6EA3" w:rsidRPr="006D0072" w:rsidRDefault="00AD6EA3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«поселок </w:t>
      </w:r>
      <w:r w:rsidR="004637A3">
        <w:rPr>
          <w:rFonts w:ascii="Times New Roman" w:hAnsi="Times New Roman" w:cs="Times New Roman"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 (Приложение № 1).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на территории муниципального образования «поселок </w:t>
      </w:r>
      <w:r w:rsidR="004637A3">
        <w:rPr>
          <w:rFonts w:ascii="Times New Roman" w:hAnsi="Times New Roman" w:cs="Times New Roman"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 (Приложение №2).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организаций, осуществляющих свою деятельность на территории п. </w:t>
      </w:r>
      <w:r w:rsidR="004637A3">
        <w:rPr>
          <w:rFonts w:ascii="Times New Roman" w:hAnsi="Times New Roman" w:cs="Times New Roman"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sz w:val="28"/>
          <w:szCs w:val="28"/>
        </w:rPr>
        <w:t xml:space="preserve">, независимо от форм собственности и организационно-правовых форм, в полномочия которых входит решение вопросов по защите населения и территорий от чрезвычайных ситуаций </w:t>
      </w:r>
      <w:r w:rsidRPr="00AD6EA3">
        <w:rPr>
          <w:rFonts w:ascii="Times New Roman" w:hAnsi="Times New Roman" w:cs="Times New Roman"/>
          <w:sz w:val="28"/>
          <w:szCs w:val="28"/>
        </w:rPr>
        <w:lastRenderedPageBreak/>
        <w:t>(потенциально опасные объекты), объектов, обеспечивающих жизнедеятельность населения (объекты водоснабжения и канализации, очистки сточных вод, тепл</w:t>
      </w:r>
      <w:proofErr w:type="gramStart"/>
      <w:r w:rsidRPr="00AD6E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6EA3">
        <w:rPr>
          <w:rFonts w:ascii="Times New Roman" w:hAnsi="Times New Roman" w:cs="Times New Roman"/>
          <w:sz w:val="28"/>
          <w:szCs w:val="28"/>
        </w:rPr>
        <w:t xml:space="preserve"> и электроснабжения, гидротехнические сооружения), организовать разработку соответствующих документов по созданию, использованию и восполнению объектовых резервов, определить места их хранения.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6E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D6EA3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Эвенкийского муниципального района в сети «Интернет» (</w:t>
      </w:r>
      <w:proofErr w:type="spellStart"/>
      <w:r w:rsidRPr="00AD6EA3">
        <w:rPr>
          <w:rFonts w:ascii="Times New Roman" w:hAnsi="Times New Roman" w:cs="Times New Roman"/>
          <w:sz w:val="28"/>
          <w:szCs w:val="28"/>
        </w:rPr>
        <w:t>www.evenkya.ru</w:t>
      </w:r>
      <w:proofErr w:type="spellEnd"/>
      <w:r w:rsidRPr="00AD6EA3">
        <w:rPr>
          <w:rFonts w:ascii="Times New Roman" w:hAnsi="Times New Roman" w:cs="Times New Roman"/>
          <w:sz w:val="28"/>
          <w:szCs w:val="28"/>
        </w:rPr>
        <w:t>).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D6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E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1A99" w:rsidRPr="0008267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 в периодическом печатном издании «Эвенкийский вестник Эвенкийского муниципального района».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27D2" w:rsidRPr="00082673" w:rsidRDefault="00E227D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A99" w:rsidRPr="00680747" w:rsidRDefault="00680747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поселка </w:t>
      </w:r>
      <w:r w:rsidR="004637A3">
        <w:rPr>
          <w:rFonts w:ascii="Times New Roman" w:eastAsia="Times New Roman" w:hAnsi="Times New Roman" w:cs="Times New Roman"/>
          <w:bCs/>
          <w:sz w:val="28"/>
          <w:szCs w:val="28"/>
        </w:rPr>
        <w:t>Эконда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4637A3">
        <w:rPr>
          <w:rFonts w:ascii="Times New Roman" w:eastAsia="Times New Roman" w:hAnsi="Times New Roman" w:cs="Times New Roman"/>
          <w:bCs/>
          <w:sz w:val="28"/>
          <w:szCs w:val="28"/>
        </w:rPr>
        <w:t>Г.П. Удыгир</w:t>
      </w:r>
    </w:p>
    <w:p w:rsidR="00001A99" w:rsidRPr="00082673" w:rsidRDefault="00001A99" w:rsidP="00001A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br w:type="page"/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</w:t>
      </w:r>
      <w:r w:rsidR="00F10754">
        <w:rPr>
          <w:rFonts w:ascii="Times New Roman" w:eastAsia="Times New Roman" w:hAnsi="Times New Roman" w:cs="Times New Roman"/>
          <w:iCs/>
          <w:sz w:val="28"/>
          <w:szCs w:val="28"/>
        </w:rPr>
        <w:t xml:space="preserve"> №1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поселка </w:t>
      </w:r>
      <w:r w:rsidR="004637A3">
        <w:rPr>
          <w:rFonts w:ascii="Times New Roman" w:eastAsia="Times New Roman" w:hAnsi="Times New Roman" w:cs="Times New Roman"/>
          <w:iCs/>
          <w:sz w:val="28"/>
          <w:szCs w:val="28"/>
        </w:rPr>
        <w:t>Эконда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B90595">
        <w:rPr>
          <w:rFonts w:ascii="Times New Roman" w:eastAsia="Times New Roman" w:hAnsi="Times New Roman" w:cs="Times New Roman"/>
          <w:iCs/>
          <w:sz w:val="28"/>
          <w:szCs w:val="28"/>
        </w:rPr>
        <w:t xml:space="preserve"> 23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B90595">
        <w:rPr>
          <w:rFonts w:ascii="Times New Roman" w:eastAsia="Times New Roman" w:hAnsi="Times New Roman" w:cs="Times New Roman"/>
          <w:iCs/>
          <w:sz w:val="28"/>
          <w:szCs w:val="28"/>
        </w:rPr>
        <w:t xml:space="preserve">11.2022 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 г. № </w:t>
      </w:r>
      <w:r w:rsidR="00C30818">
        <w:rPr>
          <w:rFonts w:ascii="Times New Roman" w:eastAsia="Times New Roman" w:hAnsi="Times New Roman" w:cs="Times New Roman"/>
          <w:iCs/>
          <w:sz w:val="28"/>
          <w:szCs w:val="28"/>
        </w:rPr>
        <w:t xml:space="preserve"> 47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Утвержден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поселка </w:t>
      </w:r>
      <w:r w:rsidR="004637A3">
        <w:rPr>
          <w:rFonts w:ascii="Times New Roman" w:eastAsia="Times New Roman" w:hAnsi="Times New Roman" w:cs="Times New Roman"/>
          <w:iCs/>
          <w:sz w:val="28"/>
          <w:szCs w:val="28"/>
        </w:rPr>
        <w:t>Эконда</w:t>
      </w:r>
    </w:p>
    <w:p w:rsidR="00001A99" w:rsidRPr="00082673" w:rsidRDefault="006D0072" w:rsidP="006D0072">
      <w:pPr>
        <w:autoSpaceDE w:val="0"/>
        <w:autoSpaceDN w:val="0"/>
        <w:adjustRightInd w:val="0"/>
        <w:spacing w:after="0" w:line="240" w:lineRule="auto"/>
        <w:ind w:left="4962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B90595">
        <w:rPr>
          <w:rFonts w:ascii="Times New Roman" w:eastAsia="Times New Roman" w:hAnsi="Times New Roman" w:cs="Times New Roman"/>
          <w:iCs/>
          <w:sz w:val="28"/>
          <w:szCs w:val="28"/>
        </w:rPr>
        <w:t xml:space="preserve"> 23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B90595">
        <w:rPr>
          <w:rFonts w:ascii="Times New Roman" w:eastAsia="Times New Roman" w:hAnsi="Times New Roman" w:cs="Times New Roman"/>
          <w:iCs/>
          <w:sz w:val="28"/>
          <w:szCs w:val="28"/>
        </w:rPr>
        <w:t>11.2022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 г. № </w:t>
      </w:r>
      <w:r w:rsidR="00C30818">
        <w:rPr>
          <w:rFonts w:ascii="Times New Roman" w:eastAsia="Times New Roman" w:hAnsi="Times New Roman" w:cs="Times New Roman"/>
          <w:iCs/>
          <w:sz w:val="28"/>
          <w:szCs w:val="28"/>
        </w:rPr>
        <w:t xml:space="preserve"> 47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001A99" w:rsidRPr="00082673" w:rsidRDefault="00001A99" w:rsidP="00001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A99" w:rsidRPr="00082673" w:rsidRDefault="00001A99" w:rsidP="00001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AD6EA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>создания, хранения, использования и восполнения резерва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>материальных ресурсов для ликвидации чрезвычайных ситуаций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gramStart"/>
      <w:r w:rsidRPr="00AD6EA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«поселок </w:t>
      </w:r>
    </w:p>
    <w:p w:rsidR="00001A99" w:rsidRPr="007F2128" w:rsidRDefault="004637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Эконда</w:t>
      </w:r>
      <w:r w:rsidR="00AD6EA3" w:rsidRPr="00AD6EA3">
        <w:rPr>
          <w:rFonts w:ascii="Times New Roman" w:hAnsi="Times New Roman" w:cs="Times New Roman"/>
          <w:b/>
          <w:bCs/>
          <w:sz w:val="28"/>
          <w:szCs w:val="28"/>
        </w:rPr>
        <w:t>» Эвенкийского муниципального района Красноярского края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072" w:rsidRPr="009D0F5A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Раздел I. Краткая характеристика администрации поселка </w:t>
      </w:r>
      <w:r w:rsidR="004637A3">
        <w:rPr>
          <w:rFonts w:ascii="Times New Roman" w:hAnsi="Times New Roman" w:cs="Times New Roman"/>
          <w:b/>
          <w:bCs/>
          <w:sz w:val="28"/>
          <w:szCs w:val="28"/>
        </w:rPr>
        <w:t>Эконда</w:t>
      </w: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 Эвенкийского муниципального района Красноярского края  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>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Красноярского края от 02.11.2001 г. № 16-1558 «О резервах материально-технических ресурсов для ликвидации чрезвычайных ситуаций на территории Красноярского края» и определяет основные принципы создания, хранения, использования и восполнения резерва материальных ресурсов для ликвидации чрезвычайных</w:t>
      </w:r>
      <w:proofErr w:type="gramEnd"/>
      <w:r w:rsidRPr="00AD6EA3">
        <w:rPr>
          <w:rFonts w:ascii="Times New Roman" w:hAnsi="Times New Roman" w:cs="Times New Roman"/>
          <w:bCs/>
          <w:sz w:val="28"/>
          <w:szCs w:val="28"/>
        </w:rPr>
        <w:t xml:space="preserve"> ситуаций (далее — резерв) на территории муниципального образования «поселок </w:t>
      </w:r>
      <w:r w:rsidR="004637A3">
        <w:rPr>
          <w:rFonts w:ascii="Times New Roman" w:hAnsi="Times New Roman" w:cs="Times New Roman"/>
          <w:bCs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bCs/>
          <w:sz w:val="28"/>
          <w:szCs w:val="28"/>
        </w:rPr>
        <w:t>» Эвенкийского муниципального района Красноярского края.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2. Резерв создается заблаговременно в целях экстренного  привлечения необходимых сре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AD6EA3">
        <w:rPr>
          <w:rFonts w:ascii="Times New Roman" w:hAnsi="Times New Roman" w:cs="Times New Roman"/>
          <w:bCs/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 xml:space="preserve">Резерв включает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 объемах, необходимых для жизнеобеспечения пострадавшего в чрезвычайных </w:t>
      </w:r>
      <w:r w:rsidRPr="00AD6E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ситуациях населения, проведения аварийно-спасательных и других неотложных работ. </w:t>
      </w:r>
      <w:proofErr w:type="gramEnd"/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4. Номенклатура и объемы материальных ресурсов резерва утверждаются Постановлением Администрации посел</w:t>
      </w:r>
      <w:r w:rsidR="002546D8">
        <w:rPr>
          <w:rFonts w:ascii="Times New Roman" w:hAnsi="Times New Roman" w:cs="Times New Roman"/>
          <w:bCs/>
          <w:sz w:val="28"/>
          <w:szCs w:val="28"/>
        </w:rPr>
        <w:t>ка</w:t>
      </w:r>
      <w:r w:rsidR="00A5016D">
        <w:rPr>
          <w:rFonts w:ascii="Times New Roman" w:hAnsi="Times New Roman" w:cs="Times New Roman"/>
          <w:bCs/>
          <w:sz w:val="28"/>
          <w:szCs w:val="28"/>
        </w:rPr>
        <w:t xml:space="preserve"> Эконда (далее Администрация поселка)</w:t>
      </w:r>
      <w:r w:rsidRPr="00AD6EA3">
        <w:rPr>
          <w:rFonts w:ascii="Times New Roman" w:hAnsi="Times New Roman" w:cs="Times New Roman"/>
          <w:bCs/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AD6EA3">
        <w:rPr>
          <w:rFonts w:ascii="Times New Roman" w:hAnsi="Times New Roman" w:cs="Times New Roman"/>
          <w:bCs/>
          <w:sz w:val="28"/>
          <w:szCs w:val="28"/>
        </w:rPr>
        <w:t>я ликвидации чрезвычайных ситуаций.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5. Создание, хранение и восполнение резерва материальных ресурсов для ликвидации чрезвычайных ситуаций на территории муниципального образования «поселок </w:t>
      </w:r>
      <w:r w:rsidR="004637A3">
        <w:rPr>
          <w:rFonts w:ascii="Times New Roman" w:hAnsi="Times New Roman" w:cs="Times New Roman"/>
          <w:bCs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bCs/>
          <w:sz w:val="28"/>
          <w:szCs w:val="28"/>
        </w:rPr>
        <w:t xml:space="preserve">» Эвенкийского муниципального района Красноярского края производится за счет средств местного бюджета муниципального образования «поселок </w:t>
      </w:r>
      <w:r w:rsidR="004637A3">
        <w:rPr>
          <w:rFonts w:ascii="Times New Roman" w:hAnsi="Times New Roman" w:cs="Times New Roman"/>
          <w:bCs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bCs/>
          <w:sz w:val="28"/>
          <w:szCs w:val="28"/>
        </w:rPr>
        <w:t>» Эвенкийского муниципального района Красноярского края, а также за счет внебюджетных источников.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>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proofErr w:type="gramEnd"/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>В случае возникновения чрезвычайных ситуаций поставка, выпуск материальных ресурсов из резерва для ликвидации чрезвычайных ситуаций на территории поселка,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поселка.</w:t>
      </w:r>
      <w:proofErr w:type="gramEnd"/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8. Поставка продукции производится путем заключения контрактов (договоров) с поставщиками. Заказы на поставку продукции в резерв размещаются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Ежегодный объем поставок материально-технических ресурсов планируется на текущий финансовый год в пределах средств, предусмотренных на эти цели в  бюджете п. </w:t>
      </w:r>
      <w:r w:rsidR="004637A3">
        <w:rPr>
          <w:rFonts w:ascii="Times New Roman" w:hAnsi="Times New Roman" w:cs="Times New Roman"/>
          <w:bCs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bCs/>
          <w:sz w:val="28"/>
          <w:szCs w:val="28"/>
        </w:rPr>
        <w:t>, и средств организаций, создающих резервы. Поставляемые в резервы края материально-технические ресурсы, если по ним установлены требования, направленные на обеспечение безопасности жизни и здоровья людей, охраны окружающей среды, должны иметь сертификаты соответствия или декларации о соответствии этим требованиям на весь срок хранения ресурсов, предусмотренные законодательством Российской Федерации о техническом регулировании.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9. Общее руководство по созданию, хранению, использованию резерва возлагается на Администрацию поселка.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10. Запасы материально-технических ресурсов размещаются на складах и базах, специально предназначенных или приспособленных для хранения резерва материально-технических ресурсов, откуда возможна их оперативная доставка в зоны чрезвычайных ситуаций. Часть этих запасов может </w:t>
      </w:r>
      <w:r w:rsidRPr="00AD6EA3">
        <w:rPr>
          <w:rFonts w:ascii="Times New Roman" w:hAnsi="Times New Roman" w:cs="Times New Roman"/>
          <w:bCs/>
          <w:sz w:val="28"/>
          <w:szCs w:val="28"/>
        </w:rPr>
        <w:lastRenderedPageBreak/>
        <w:t>храниться на промышленных, транспортных, сельскохозяйственных, снабженческо-сбытовых и иных предприятиях, в учреждениях и организациях независимо от их форм собственности и организационно-правовых форм.  Места хранения запасов материально-технических ресурсов для ликвидации чрезвычайных ситуаций устанавливаются  Администрацией поселка.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11. Выпуск материально-технических ресурсов из резерва для ликвидации чрезвычайных ситуаций осуществляется: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а) в связи с их освежением и заменой;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б) в порядке временного заимствования;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в) для ликвидации чрезвычайных ситуаций.</w:t>
      </w:r>
    </w:p>
    <w:p w:rsid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11.1. Выпуск материальных ресурсов из резерва осуществляется по решению Главы поселка </w:t>
      </w:r>
      <w:r w:rsidR="004637A3">
        <w:rPr>
          <w:rFonts w:ascii="Times New Roman" w:hAnsi="Times New Roman" w:cs="Times New Roman"/>
          <w:bCs/>
          <w:sz w:val="28"/>
          <w:szCs w:val="28"/>
        </w:rPr>
        <w:t>Эконда</w:t>
      </w:r>
      <w:r w:rsidRPr="00AD6EA3">
        <w:rPr>
          <w:rFonts w:ascii="Times New Roman" w:hAnsi="Times New Roman" w:cs="Times New Roman"/>
          <w:bCs/>
          <w:sz w:val="28"/>
          <w:szCs w:val="28"/>
        </w:rPr>
        <w:t>, или лица, его замещающего, и оформляется письменным распоряжением. Распоряжения готовятся на основании обращений предприятий, учреждений, организаций и граждан.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12.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13. Отчет о целевом использовании выделенных из резерва материальных ресурсов готовят предприятия, учреждения, организации, которым они выделялись. Документы, подтверждающие целевое использование материальных ресурсов, представляются в Администрацию поселка, в тридцатидневный срок со дня устранения чрезвычайной ситуации.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gramStart"/>
      <w:r w:rsidRPr="00AD6EA3">
        <w:rPr>
          <w:rFonts w:ascii="Times New Roman" w:hAnsi="Times New Roman" w:cs="Times New Roman"/>
          <w:bCs/>
          <w:sz w:val="28"/>
          <w:szCs w:val="28"/>
        </w:rPr>
        <w:t>Для ликвидации чрезвычайных ситуаций и обеспечении жизнедеятельности пострадавшего населения Администрация поселка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proofErr w:type="gramEnd"/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15.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поселка о выделении ресурсов из Резерва.</w:t>
      </w:r>
    </w:p>
    <w:p w:rsid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 16. Должностные лица, виновные в невыполнении или ненадлежащем выполнении требований законодательства о резервах материально-технических ресурсов для ликвидации чрезвычайных ситуаций, несут ответственность в соответствии с действующим законодательством Российской Федерации.</w:t>
      </w: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BD1" w:rsidRDefault="00724BD1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BD1" w:rsidRDefault="00724BD1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BD1" w:rsidRDefault="00724BD1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BD1" w:rsidRDefault="00724BD1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BD1" w:rsidRDefault="00724BD1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№2</w:t>
      </w: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к Постановлению</w:t>
      </w: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Администрации поселка Эконда</w:t>
      </w: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23.11</w:t>
      </w: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 xml:space="preserve">.2021 г. № </w:t>
      </w:r>
      <w:r w:rsidR="00C30818">
        <w:rPr>
          <w:rFonts w:ascii="Times New Roman" w:eastAsia="Times New Roman" w:hAnsi="Times New Roman" w:cs="Times New Roman"/>
          <w:iCs/>
          <w:sz w:val="24"/>
          <w:szCs w:val="24"/>
        </w:rPr>
        <w:t>47</w:t>
      </w: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-п</w:t>
      </w: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Утвержден</w:t>
      </w: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Постановлением</w:t>
      </w:r>
    </w:p>
    <w:p w:rsidR="00EC30AC" w:rsidRPr="00AA4FED" w:rsidRDefault="00EC30AC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Администрации поселка Эконда</w:t>
      </w:r>
    </w:p>
    <w:p w:rsidR="00EC30AC" w:rsidRPr="00AA4FED" w:rsidRDefault="00C30818" w:rsidP="00EC30AC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 23.11.2022 г. № 47</w:t>
      </w:r>
      <w:r w:rsidR="00EC30AC" w:rsidRPr="00AA4FED">
        <w:rPr>
          <w:rFonts w:ascii="Times New Roman" w:eastAsia="Times New Roman" w:hAnsi="Times New Roman" w:cs="Times New Roman"/>
          <w:iCs/>
          <w:sz w:val="24"/>
          <w:szCs w:val="24"/>
        </w:rPr>
        <w:t>-п</w:t>
      </w:r>
    </w:p>
    <w:p w:rsidR="00EC30AC" w:rsidRPr="00041BC6" w:rsidRDefault="00EC30AC" w:rsidP="00EC30A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30AC" w:rsidRPr="00041BC6" w:rsidRDefault="00EC30AC" w:rsidP="00EC30A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hAnsi="Times New Roman" w:cs="Times New Roman"/>
          <w:b/>
          <w:bCs/>
          <w:sz w:val="28"/>
          <w:szCs w:val="28"/>
        </w:rPr>
        <w:t xml:space="preserve">Номенклатура </w:t>
      </w:r>
    </w:p>
    <w:p w:rsidR="00EC30AC" w:rsidRPr="00041BC6" w:rsidRDefault="00EC30AC" w:rsidP="00EC30A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hAnsi="Times New Roman" w:cs="Times New Roman"/>
          <w:b/>
          <w:bCs/>
          <w:sz w:val="28"/>
          <w:szCs w:val="28"/>
        </w:rPr>
        <w:t xml:space="preserve">и объем резерва материальных ресурсов для ликвидации чрезвычайных ситуаций на территории </w:t>
      </w:r>
    </w:p>
    <w:p w:rsidR="00EC30AC" w:rsidRPr="00041BC6" w:rsidRDefault="00EC30AC" w:rsidP="00EC30A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«поселок 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Эконда</w:t>
      </w:r>
      <w:r w:rsidRPr="00041BC6">
        <w:rPr>
          <w:rFonts w:ascii="Times New Roman" w:hAnsi="Times New Roman" w:cs="Times New Roman"/>
          <w:b/>
          <w:bCs/>
          <w:sz w:val="28"/>
          <w:szCs w:val="28"/>
        </w:rPr>
        <w:t>» Эвенкийского муниципального района Красноярского края</w:t>
      </w:r>
    </w:p>
    <w:p w:rsidR="00EC30AC" w:rsidRPr="00041BC6" w:rsidRDefault="00EC30AC" w:rsidP="00EC30A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расчета на </w:t>
      </w:r>
      <w:r w:rsidR="0072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1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человек на 10 суток</w:t>
      </w:r>
    </w:p>
    <w:p w:rsidR="00EC30AC" w:rsidRPr="00041BC6" w:rsidRDefault="00EC30AC" w:rsidP="00EC30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"/>
        <w:gridCol w:w="4412"/>
        <w:gridCol w:w="1276"/>
        <w:gridCol w:w="1701"/>
        <w:gridCol w:w="1227"/>
        <w:gridCol w:w="15"/>
      </w:tblGrid>
      <w:tr w:rsidR="00EC30AC" w:rsidRPr="00041BC6" w:rsidTr="002312F6">
        <w:trPr>
          <w:trHeight w:val="997"/>
        </w:trPr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материальных средств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EC30AC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сутки</w:t>
            </w:r>
          </w:p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1 человека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C30AC" w:rsidRPr="00041BC6" w:rsidTr="002312F6">
        <w:tc>
          <w:tcPr>
            <w:tcW w:w="8222" w:type="dxa"/>
            <w:gridSpan w:val="4"/>
            <w:tcBorders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из  муки первого сорта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0,300 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Крупа рисовая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 сухое (молокопродукты)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Мясопродукты (консервы) 0,375гр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Рыбопродукты (консервы) 0,375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C30AC" w:rsidRPr="00041BC6" w:rsidTr="002312F6">
        <w:tc>
          <w:tcPr>
            <w:tcW w:w="82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30AC" w:rsidRPr="001E70D7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Вещевое имущество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Мыло хозяйственное 1/200гр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Посуда разовая </w:t>
            </w:r>
          </w:p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(стакан, тарелка, ложка, вилка, нож)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Перчатки рабочие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/б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Керосиновая лампа в комплекте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Спички 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Свечи парафиновые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EC30AC" w:rsidRPr="00041BC6" w:rsidTr="002312F6">
        <w:tc>
          <w:tcPr>
            <w:tcW w:w="82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30AC" w:rsidRPr="001E70D7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пожаротушения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Огнетушитель порошковый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Удлинитель УК50 на катушке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Рукав пожарный 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Мотопомпа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переносная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30AC" w:rsidRPr="00041BC6" w:rsidTr="002312F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C" w:rsidRPr="001E70D7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связи и оповещения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c>
          <w:tcPr>
            <w:tcW w:w="833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спутниковый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30AC" w:rsidRPr="00041BC6" w:rsidTr="002312F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стационарный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9449" w:type="dxa"/>
            <w:gridSpan w:val="5"/>
            <w:tcBorders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Горюче-смазочные средства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Бензин АИ-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Дизельное топливо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ЛУКОЙЛ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222" w:type="dxa"/>
            <w:gridSpan w:val="4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Медикаменты и медицинское имущество 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Бинты марлевые стерильные 7х14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 стерильная 0,250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Антисептические средства (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хлоргексидин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0,250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Ацетисалициловая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Антибиотики (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цефтриоксон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Йод 0,01мл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Зеленка 0,01 мл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 медицинская одноразовая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Перчатки одноразовые стерильные хирургические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Гипс медицинский 7х14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Жгут медицинский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Корвалол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валокордин 0,025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Валидол, экстракт валерианы №10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аммиака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Шина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Крамера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для вливаний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Катетеры </w:t>
            </w:r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/в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Спиртовые салфетки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Мешок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Бесконтактный термометр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Тонометр автоматический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Тонометр механический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Салфетки стерильные  10х25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Обезболивающие нестероидные </w:t>
            </w:r>
          </w:p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найз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кетонал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Спазмолитические средства</w:t>
            </w:r>
          </w:p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спазган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но-шпа)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Раствор 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реополиглюкин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Раствор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полиглюкин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аствор 400мл.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Раствор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Трисоль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400 мл.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глюкозы 5% 400 мл.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  2,0 куб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 5.0 куб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 10,0 куб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Спазган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5,0 №5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Но-шпа 2,0 №10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Кетонал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2,0 №10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Дицинон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2,0 №10 (кровеостанавливающее)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Этанзелат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2,0 №10 (кровеостанавливающее)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Эуфиллин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10,0 №10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(дыхательное)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кушерский 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набор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Метоклопрамид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2,0 №10 (противорвотное)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№25 </w:t>
            </w:r>
          </w:p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анафилактическом шоке)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для системы вливания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222" w:type="dxa"/>
            <w:gridSpan w:val="4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1E70D7" w:rsidRDefault="00EC30AC" w:rsidP="002312F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индивидуальной защиты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респираторы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222" w:type="dxa"/>
            <w:gridSpan w:val="4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1E70D7" w:rsidRDefault="00EC30AC" w:rsidP="002312F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Материально-технические средства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матрас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05303F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C30AC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Одеяло байковое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05303F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C30AC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подушка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05303F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C30AC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раскладушка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05303F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C30AC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Фонарь светодиодный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Батареи </w:t>
            </w:r>
            <w:proofErr w:type="spell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мизинчиковые</w:t>
            </w:r>
            <w:proofErr w:type="spellEnd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 фонарям, термометру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Батарейки  пальчиковые  к тонометру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C30AC" w:rsidRPr="00041BC6" w:rsidTr="002312F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Палатки быстровозводимые солдатские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C30AC" w:rsidRPr="00041BC6" w:rsidRDefault="00EC30AC" w:rsidP="00231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C30AC" w:rsidRDefault="00EC30AC" w:rsidP="00EC30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30AC" w:rsidRPr="00EC6C89" w:rsidRDefault="00EC30AC" w:rsidP="00EC30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D6EA3" w:rsidSect="00D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9E" w:rsidRDefault="003C579E" w:rsidP="00124470">
      <w:pPr>
        <w:spacing w:after="0" w:line="240" w:lineRule="auto"/>
      </w:pPr>
      <w:r>
        <w:separator/>
      </w:r>
    </w:p>
  </w:endnote>
  <w:endnote w:type="continuationSeparator" w:id="0">
    <w:p w:rsidR="003C579E" w:rsidRDefault="003C579E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9E" w:rsidRDefault="003C579E" w:rsidP="00124470">
      <w:pPr>
        <w:spacing w:after="0" w:line="240" w:lineRule="auto"/>
      </w:pPr>
      <w:r>
        <w:separator/>
      </w:r>
    </w:p>
  </w:footnote>
  <w:footnote w:type="continuationSeparator" w:id="0">
    <w:p w:rsidR="003C579E" w:rsidRDefault="003C579E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07"/>
    <w:rsid w:val="00001A99"/>
    <w:rsid w:val="0005303F"/>
    <w:rsid w:val="000D6826"/>
    <w:rsid w:val="000F160C"/>
    <w:rsid w:val="00124470"/>
    <w:rsid w:val="001514AB"/>
    <w:rsid w:val="001A6671"/>
    <w:rsid w:val="00200096"/>
    <w:rsid w:val="00242DB3"/>
    <w:rsid w:val="00247407"/>
    <w:rsid w:val="002524BD"/>
    <w:rsid w:val="002546D8"/>
    <w:rsid w:val="00284E02"/>
    <w:rsid w:val="0033504D"/>
    <w:rsid w:val="0033745C"/>
    <w:rsid w:val="00380D88"/>
    <w:rsid w:val="003B5178"/>
    <w:rsid w:val="003C579E"/>
    <w:rsid w:val="003D1290"/>
    <w:rsid w:val="004029D8"/>
    <w:rsid w:val="004637A3"/>
    <w:rsid w:val="00471CCB"/>
    <w:rsid w:val="0048152D"/>
    <w:rsid w:val="004E37D2"/>
    <w:rsid w:val="005301E8"/>
    <w:rsid w:val="00560BA6"/>
    <w:rsid w:val="00606DFD"/>
    <w:rsid w:val="00651BF8"/>
    <w:rsid w:val="00680747"/>
    <w:rsid w:val="006C1BC4"/>
    <w:rsid w:val="006D0072"/>
    <w:rsid w:val="006D2C9F"/>
    <w:rsid w:val="00721C5B"/>
    <w:rsid w:val="00724BD1"/>
    <w:rsid w:val="0073349D"/>
    <w:rsid w:val="007340C4"/>
    <w:rsid w:val="007950AA"/>
    <w:rsid w:val="007A666F"/>
    <w:rsid w:val="007E5F9B"/>
    <w:rsid w:val="00826048"/>
    <w:rsid w:val="00831FEF"/>
    <w:rsid w:val="0084610F"/>
    <w:rsid w:val="00847E0F"/>
    <w:rsid w:val="008A678B"/>
    <w:rsid w:val="008F3DC0"/>
    <w:rsid w:val="0091545F"/>
    <w:rsid w:val="00943831"/>
    <w:rsid w:val="00960FAC"/>
    <w:rsid w:val="009D0F5A"/>
    <w:rsid w:val="009D5927"/>
    <w:rsid w:val="00A36C60"/>
    <w:rsid w:val="00A5016D"/>
    <w:rsid w:val="00A66618"/>
    <w:rsid w:val="00AD6EA3"/>
    <w:rsid w:val="00B24869"/>
    <w:rsid w:val="00B5140B"/>
    <w:rsid w:val="00B67F10"/>
    <w:rsid w:val="00B90595"/>
    <w:rsid w:val="00BE014A"/>
    <w:rsid w:val="00C21C00"/>
    <w:rsid w:val="00C250B2"/>
    <w:rsid w:val="00C30818"/>
    <w:rsid w:val="00CB6FC7"/>
    <w:rsid w:val="00CF2E7F"/>
    <w:rsid w:val="00D31563"/>
    <w:rsid w:val="00D32BFF"/>
    <w:rsid w:val="00D34787"/>
    <w:rsid w:val="00D54D25"/>
    <w:rsid w:val="00D70E9E"/>
    <w:rsid w:val="00DD1D42"/>
    <w:rsid w:val="00E01526"/>
    <w:rsid w:val="00E01F7E"/>
    <w:rsid w:val="00E1460F"/>
    <w:rsid w:val="00E227D2"/>
    <w:rsid w:val="00E338F7"/>
    <w:rsid w:val="00E5399F"/>
    <w:rsid w:val="00E9052E"/>
    <w:rsid w:val="00EC30AC"/>
    <w:rsid w:val="00EC46F3"/>
    <w:rsid w:val="00EC6C89"/>
    <w:rsid w:val="00F0298F"/>
    <w:rsid w:val="00F10754"/>
    <w:rsid w:val="00F1266D"/>
    <w:rsid w:val="00F24B7B"/>
    <w:rsid w:val="00F33D80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67F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67F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D3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31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25FF5-78BC-48D8-B8CC-DC1720BD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Эконда</cp:lastModifiedBy>
  <cp:revision>19</cp:revision>
  <cp:lastPrinted>2021-06-03T12:16:00Z</cp:lastPrinted>
  <dcterms:created xsi:type="dcterms:W3CDTF">2021-09-09T04:52:00Z</dcterms:created>
  <dcterms:modified xsi:type="dcterms:W3CDTF">2022-11-24T06:44:00Z</dcterms:modified>
</cp:coreProperties>
</file>